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lineRule="auto" w:line="360"/>
        <w:ind w:hanging="9" w:left="0"/>
        <w:rPr>
          <w:iCs/>
          <w:sz w:val="18"/>
          <w:szCs w:val="18"/>
        </w:rPr>
      </w:pPr>
      <w:r>
        <w:rPr>
          <w:sz w:val="18"/>
          <w:szCs w:val="18"/>
        </w:rPr>
        <w:t xml:space="preserve">Organizace:  </w:t>
      </w:r>
    </w:p>
    <w:p>
      <w:pPr>
        <w:pStyle w:val="Textkomente1"/>
        <w:spacing w:lineRule="auto" w:line="36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iCs/>
          <w:sz w:val="18"/>
          <w:szCs w:val="18"/>
        </w:rPr>
        <w:t xml:space="preserve">Sídlo:   </w:t>
      </w:r>
    </w:p>
    <w:p>
      <w:pPr>
        <w:pStyle w:val="Heading1"/>
        <w:numPr>
          <w:ilvl w:val="0"/>
          <w:numId w:val="0"/>
        </w:numPr>
        <w:ind w:hanging="0" w:left="0"/>
        <w:jc w:val="lef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 w:val="false"/>
          <w:sz w:val="18"/>
          <w:szCs w:val="18"/>
        </w:rPr>
        <w:t xml:space="preserve">IČO: </w:t>
      </w:r>
      <w:r>
        <w:rPr>
          <w:rFonts w:cs="Tahoma" w:ascii="Tahoma" w:hAnsi="Tahoma"/>
          <w:b w:val="false"/>
          <w:bCs/>
          <w:sz w:val="18"/>
          <w:szCs w:val="18"/>
        </w:rPr>
        <w:t xml:space="preserve"> </w:t>
        <w:tab/>
        <w:tab/>
      </w:r>
      <w:r>
        <w:rPr>
          <w:rFonts w:cs="Tahoma" w:ascii="Tahoma" w:hAnsi="Tahoma"/>
          <w:b w:val="false"/>
          <w:sz w:val="18"/>
          <w:szCs w:val="18"/>
        </w:rPr>
        <w:tab/>
        <w:tab/>
        <w:t>DIČ:</w:t>
      </w:r>
    </w:p>
    <w:p>
      <w:pPr>
        <w:pStyle w:val="BodyText"/>
        <w:spacing w:lineRule="auto" w:line="36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Odpovědný zástupce:</w:t>
      </w:r>
    </w:p>
    <w:p>
      <w:pPr>
        <w:pStyle w:val="BodyText"/>
        <w:spacing w:lineRule="auto" w:line="36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Kontaktní osoba přímo na akci: </w:t>
      </w:r>
    </w:p>
    <w:p>
      <w:pPr>
        <w:pStyle w:val="Normal"/>
        <w:spacing w:lineRule="auto" w:line="360"/>
        <w:rPr>
          <w:rFonts w:ascii="Tahoma" w:hAnsi="Tahoma" w:cs="Tahoma"/>
          <w:b/>
          <w:sz w:val="18"/>
          <w:szCs w:val="18"/>
        </w:rPr>
      </w:pPr>
      <w:permStart w:id="50013739" w:edGrp="everyone"/>
      <w:r>
        <w:rPr>
          <w:rFonts w:cs="Tahoma" w:ascii="Tahoma" w:hAnsi="Tahoma"/>
          <w:sz w:val="18"/>
          <w:szCs w:val="18"/>
        </w:rPr>
        <w:t>tel.:</w:t>
        <w:tab/>
        <w:tab/>
        <w:tab/>
        <w:t xml:space="preserve">e-mail: </w:t>
      </w:r>
      <w:permEnd w:id="50013739"/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(dále jen „pořadatel“)</w:t>
      </w:r>
    </w:p>
    <w:p>
      <w:pPr>
        <w:pStyle w:val="Normal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na jedné straně, a </w:t>
      </w:r>
    </w:p>
    <w:p>
      <w:pPr>
        <w:pStyle w:val="Normal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z. s. TAP</w:t>
      </w:r>
      <w:r>
        <w:rPr>
          <w:rFonts w:cs="Tahoma" w:ascii="Tahoma" w:hAnsi="Tahoma"/>
          <w:sz w:val="18"/>
          <w:szCs w:val="18"/>
        </w:rPr>
        <w:t xml:space="preserve">, (zřizovatel kapely </w:t>
      </w:r>
      <w:r>
        <w:rPr>
          <w:rFonts w:cs="Tahoma" w:ascii="Tahoma" w:hAnsi="Tahoma"/>
          <w:b/>
          <w:sz w:val="18"/>
          <w:szCs w:val="18"/>
        </w:rPr>
        <w:t>The Tap Tap</w:t>
      </w:r>
      <w:r>
        <w:rPr>
          <w:rFonts w:cs="Tahoma" w:ascii="Tahoma" w:hAnsi="Tahoma"/>
          <w:sz w:val="18"/>
          <w:szCs w:val="18"/>
        </w:rPr>
        <w:t>)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zastoupený: </w:t>
      </w:r>
      <w:r>
        <w:rPr>
          <w:rFonts w:cs="Tahoma" w:ascii="Tahoma" w:hAnsi="Tahoma"/>
          <w:b/>
          <w:sz w:val="18"/>
          <w:szCs w:val="18"/>
        </w:rPr>
        <w:t>Šimonem Ornestem</w:t>
      </w:r>
    </w:p>
    <w:p>
      <w:pPr>
        <w:pStyle w:val="Textkomente1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se sídlem: Na Pankráci 13, Praha 4, 140 00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IČO: 26517213, DIČ: CZ 26517213</w:t>
      </w:r>
    </w:p>
    <w:p>
      <w:pPr>
        <w:pStyle w:val="Normal"/>
        <w:rPr>
          <w:rFonts w:ascii="Tahoma" w:hAnsi="Tahoma" w:cs="Tahoma"/>
          <w:b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Bankovní spojení – KB a.s. 51-1252720287/0100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(dále jen „účinkující“)</w:t>
      </w:r>
      <w:r>
        <w:rPr>
          <w:rFonts w:cs="Tahoma" w:ascii="Tahoma" w:hAnsi="Tahoma"/>
          <w:sz w:val="18"/>
          <w:szCs w:val="18"/>
        </w:rPr>
        <w:tab/>
        <w:tab/>
        <w:tab/>
        <w:t xml:space="preserve">na straně druhé uzavírají 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Heading1"/>
        <w:numPr>
          <w:ilvl w:val="0"/>
          <w:numId w:val="1"/>
        </w:numPr>
        <w:spacing w:lineRule="auto" w:line="240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Smlouvu o vystoupení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numPr>
          <w:ilvl w:val="0"/>
          <w:numId w:val="6"/>
        </w:numPr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Předmět smlouvy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1.1. Za podmínek v této smlouvě uvedených se účinkující zavazují vystoupit se svým hudebním programem v rámci programu </w:t>
      </w:r>
      <w:r>
        <w:rPr>
          <w:rFonts w:cs="Tahoma" w:ascii="Tahoma" w:hAnsi="Tahoma"/>
          <w:b/>
          <w:bCs/>
          <w:sz w:val="18"/>
          <w:szCs w:val="18"/>
        </w:rPr>
        <w:t>koncert</w:t>
      </w:r>
      <w:r>
        <w:rPr>
          <w:rFonts w:cs="Tahoma" w:ascii="Tahoma" w:hAnsi="Tahoma"/>
          <w:sz w:val="18"/>
          <w:szCs w:val="18"/>
        </w:rPr>
        <w:t>, organizovaném pořadatelem.</w:t>
      </w:r>
    </w:p>
    <w:p>
      <w:pPr>
        <w:pStyle w:val="Normal"/>
        <w:numPr>
          <w:ilvl w:val="0"/>
          <w:numId w:val="2"/>
        </w:numPr>
        <w:spacing w:lineRule="auto" w:line="360"/>
        <w:ind w:hanging="284" w:left="28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Datum vystoupení:      </w:t>
        <w:tab/>
        <w:t xml:space="preserve"> </w:t>
      </w:r>
    </w:p>
    <w:p>
      <w:pPr>
        <w:pStyle w:val="Normal"/>
        <w:numPr>
          <w:ilvl w:val="0"/>
          <w:numId w:val="2"/>
        </w:numPr>
        <w:spacing w:lineRule="auto" w:line="360"/>
        <w:ind w:hanging="284" w:left="284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cs="Tahoma" w:ascii="Tahoma" w:hAnsi="Tahoma"/>
          <w:color w:val="000000"/>
          <w:sz w:val="18"/>
          <w:szCs w:val="18"/>
        </w:rPr>
        <w:t>Místo vystoupení:</w:t>
      </w:r>
      <w:r>
        <w:rPr>
          <w:rFonts w:cs="Tahoma" w:ascii="Tahoma" w:hAnsi="Tahoma"/>
          <w:b/>
          <w:bCs/>
          <w:color w:val="000000"/>
          <w:sz w:val="18"/>
          <w:szCs w:val="18"/>
        </w:rPr>
        <w:t xml:space="preserve"> </w:t>
      </w:r>
      <w:r>
        <w:rPr>
          <w:rFonts w:cs="Tahoma" w:ascii="Tahoma" w:hAnsi="Tahoma"/>
          <w:b/>
          <w:bCs/>
          <w:sz w:val="18"/>
          <w:szCs w:val="18"/>
        </w:rPr>
        <w:t xml:space="preserve"> </w:t>
      </w:r>
    </w:p>
    <w:p>
      <w:pPr>
        <w:pStyle w:val="Normal"/>
        <w:numPr>
          <w:ilvl w:val="0"/>
          <w:numId w:val="2"/>
        </w:numPr>
        <w:ind w:hanging="284" w:left="284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Časový harmonogram:</w:t>
      </w:r>
    </w:p>
    <w:p>
      <w:pPr>
        <w:pStyle w:val="Normal"/>
        <w:ind w:left="708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 xml:space="preserve">Příjezd kapely </w:t>
        <w:tab/>
        <w:tab/>
        <w:t>-</w:t>
      </w:r>
    </w:p>
    <w:p>
      <w:pPr>
        <w:pStyle w:val="Normal"/>
        <w:ind w:left="708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 xml:space="preserve">Zvuková zkouška </w:t>
        <w:tab/>
        <w:tab/>
        <w:t>-</w:t>
      </w:r>
    </w:p>
    <w:p>
      <w:pPr>
        <w:pStyle w:val="Normal"/>
        <w:ind w:left="708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cs="Tahoma" w:ascii="Tahoma" w:hAnsi="Tahoma"/>
          <w:bCs/>
          <w:sz w:val="18"/>
          <w:szCs w:val="18"/>
        </w:rPr>
        <w:t>Začátek vystoupení</w:t>
        <w:tab/>
        <w:t xml:space="preserve">-  </w:t>
      </w:r>
    </w:p>
    <w:p>
      <w:pPr>
        <w:pStyle w:val="Normal"/>
        <w:ind w:left="708"/>
        <w:jc w:val="both"/>
        <w:rPr>
          <w:rFonts w:ascii="Tahoma" w:hAnsi="Tahoma" w:cs="Tahoma"/>
          <w:sz w:val="18"/>
          <w:szCs w:val="18"/>
        </w:rPr>
      </w:pPr>
      <w:permStart w:id="757075495" w:edGrp="everyone"/>
      <w:r>
        <w:rPr>
          <w:rFonts w:cs="Tahoma" w:ascii="Tahoma" w:hAnsi="Tahoma"/>
          <w:bCs/>
          <w:sz w:val="18"/>
          <w:szCs w:val="18"/>
        </w:rPr>
        <w:t>Konec vystoupení</w:t>
        <w:tab/>
        <w:tab/>
        <w:t xml:space="preserve">-  </w:t>
      </w:r>
      <w:permEnd w:id="757075495"/>
    </w:p>
    <w:p>
      <w:pPr>
        <w:pStyle w:val="Textkomente1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numPr>
          <w:ilvl w:val="0"/>
          <w:numId w:val="4"/>
        </w:numPr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Závazky účinkujícího</w:t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Účinkující se zavazuje dodržet časový harmonogram.</w:t>
      </w:r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Účinkující se zavazuje vystoupit s programem v délce </w:t>
      </w:r>
      <w:permStart w:id="1589138716" w:edGrp="everyone"/>
      <w:permStart w:id="1335954991" w:edGrp="everyone"/>
      <w:r>
        <w:rPr>
          <w:rFonts w:cs="Tahoma" w:ascii="Tahoma" w:hAnsi="Tahoma"/>
          <w:sz w:val="18"/>
          <w:szCs w:val="18"/>
        </w:rPr>
        <w:t>……………</w:t>
      </w:r>
      <w:permEnd w:id="1589138716"/>
      <w:permEnd w:id="1335954991"/>
    </w:p>
    <w:p>
      <w:pPr>
        <w:pStyle w:val="Normal"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Účinkující se zavazuje uskutečnit svůj program svědomitě a ve standardní kvalitě.</w:t>
      </w:r>
    </w:p>
    <w:p>
      <w:pPr>
        <w:pStyle w:val="Normal"/>
        <w:numPr>
          <w:ilvl w:val="0"/>
          <w:numId w:val="3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Účinkující se zavazuje převzít odpovědnost za případné hmotné škody způsobené při jeho vystoupení vinou účinkujícího na nástrojové aparatuře a zařízení zajištěných pořadatelem.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numPr>
          <w:ilvl w:val="0"/>
          <w:numId w:val="8"/>
        </w:numPr>
        <w:ind w:hanging="284" w:left="284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Závazky pořadatele</w:t>
      </w:r>
    </w:p>
    <w:p>
      <w:pPr>
        <w:pStyle w:val="Normal"/>
        <w:numPr>
          <w:ilvl w:val="0"/>
          <w:numId w:val="7"/>
        </w:numPr>
        <w:ind w:hanging="284" w:left="284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Pořadatel se zavazuje uhradit účinkujícímu honorář ve výši</w:t>
      </w:r>
      <w:permStart w:id="566562186" w:edGrp="everyone"/>
      <w:r>
        <w:rPr>
          <w:rFonts w:cs="Tahoma" w:ascii="Tahoma" w:hAnsi="Tahoma"/>
          <w:sz w:val="18"/>
          <w:szCs w:val="18"/>
        </w:rPr>
        <w:t>: ….......</w:t>
      </w:r>
      <w:r>
        <w:rPr>
          <w:rFonts w:cs="Tahoma" w:ascii="Tahoma" w:hAnsi="Tahoma"/>
          <w:b/>
          <w:bCs/>
          <w:sz w:val="18"/>
          <w:szCs w:val="18"/>
        </w:rPr>
        <w:t xml:space="preserve"> </w:t>
      </w:r>
      <w:r>
        <w:rPr>
          <w:rFonts w:cs="Tahoma" w:ascii="Tahoma" w:hAnsi="Tahoma"/>
          <w:b/>
          <w:bCs/>
          <w:sz w:val="18"/>
          <w:szCs w:val="18"/>
        </w:rPr>
        <w:t xml:space="preserve">+ </w:t>
      </w:r>
      <w:permEnd w:id="566562186"/>
      <w:r>
        <w:rPr>
          <w:rFonts w:cs="Tahoma" w:ascii="Tahoma" w:hAnsi="Tahoma"/>
          <w:b/>
          <w:bCs/>
          <w:sz w:val="18"/>
          <w:szCs w:val="18"/>
        </w:rPr>
        <w:t>21</w:t>
      </w:r>
      <w:r>
        <w:rPr>
          <w:rFonts w:cs="Tahoma" w:ascii="Tahoma" w:hAnsi="Tahoma"/>
          <w:b/>
          <w:bCs/>
          <w:sz w:val="18"/>
          <w:szCs w:val="18"/>
        </w:rPr>
        <w:t xml:space="preserve"> % DPH </w:t>
      </w:r>
    </w:p>
    <w:p>
      <w:pPr>
        <w:pStyle w:val="Normal"/>
        <w:numPr>
          <w:ilvl w:val="1"/>
          <w:numId w:val="10"/>
        </w:numPr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cena zahrnuje: honorář skupiny, profesionálních hudebníků, zvukaře, moderátora, řidiče.</w:t>
      </w:r>
    </w:p>
    <w:p>
      <w:pPr>
        <w:pStyle w:val="Normal"/>
        <w:numPr>
          <w:ilvl w:val="1"/>
          <w:numId w:val="10"/>
        </w:numPr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k ceně budou přičteny náklady za pohonné hmoty ve výši </w:t>
      </w:r>
      <w:r>
        <w:rPr>
          <w:rFonts w:cs="Tahoma" w:ascii="Tahoma" w:hAnsi="Tahoma"/>
          <w:sz w:val="18"/>
          <w:szCs w:val="18"/>
        </w:rPr>
        <w:t xml:space="preserve">45 </w:t>
      </w:r>
      <w:r>
        <w:rPr>
          <w:rFonts w:cs="Tahoma" w:ascii="Tahoma" w:hAnsi="Tahoma"/>
          <w:sz w:val="18"/>
          <w:szCs w:val="18"/>
        </w:rPr>
        <w:t xml:space="preserve">Kč/ 1 km </w:t>
      </w:r>
      <w:r>
        <w:rPr>
          <w:rFonts w:cs="Tahoma" w:ascii="Tahoma" w:hAnsi="Tahoma"/>
          <w:b/>
          <w:bCs/>
          <w:sz w:val="18"/>
          <w:szCs w:val="18"/>
        </w:rPr>
        <w:t>+ 21% DPH</w:t>
      </w:r>
    </w:p>
    <w:p>
      <w:pPr>
        <w:pStyle w:val="Normal"/>
        <w:numPr>
          <w:ilvl w:val="0"/>
          <w:numId w:val="7"/>
        </w:numPr>
        <w:ind w:hanging="284" w:left="284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Honorář bude převeden na bankovní účet z. s. TAP na základě dodané faktury.</w:t>
      </w:r>
    </w:p>
    <w:p>
      <w:pPr>
        <w:pStyle w:val="Normal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Pořadatel zajistí veškeré podmínky pro zajištění bezpečnosti a ochrany zdraví účinkujících v souladu </w:t>
        <w:tab/>
        <w:t>s obecně závaznými právními předpisy. Pořadatel zajistí teplotu na jevišti min. 18°C.</w:t>
      </w:r>
    </w:p>
    <w:p>
      <w:pPr>
        <w:pStyle w:val="Normal"/>
        <w:numPr>
          <w:ilvl w:val="0"/>
          <w:numId w:val="7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Pořadatel zajistí </w:t>
      </w:r>
      <w:r>
        <w:rPr>
          <w:rFonts w:cs="Tahoma" w:ascii="Tahoma" w:hAnsi="Tahoma"/>
          <w:b/>
          <w:sz w:val="18"/>
          <w:szCs w:val="18"/>
        </w:rPr>
        <w:t>technické zajištění akce</w:t>
      </w:r>
      <w:r>
        <w:rPr>
          <w:rFonts w:cs="Tahoma" w:ascii="Tahoma" w:hAnsi="Tahoma"/>
          <w:sz w:val="18"/>
          <w:szCs w:val="18"/>
        </w:rPr>
        <w:t xml:space="preserve">. Za tímto účelem se s dostatečným předstihem seznámí </w:t>
        <w:br/>
        <w:t xml:space="preserve">se stage plánem a ostatními technickými požadavky účinkujícího, které jsou dostupné ke stažení </w:t>
        <w:br/>
        <w:t xml:space="preserve">na: </w:t>
      </w:r>
      <w:r>
        <w:fldChar w:fldCharType="begin"/>
      </w:r>
      <w:r>
        <w:rPr>
          <w:rStyle w:val="Hyperlink"/>
          <w:sz w:val="18"/>
          <w:szCs w:val="18"/>
          <w:rFonts w:cs="Tahoma" w:ascii="Tahoma" w:hAnsi="Tahoma"/>
        </w:rPr>
        <w:instrText xml:space="preserve"> HYPERLINK "http://www.thetaptap.cz/" \l "!kapela/objednejte-si"</w:instrText>
      </w:r>
      <w:r>
        <w:rPr>
          <w:rStyle w:val="Hyperlink"/>
          <w:sz w:val="18"/>
          <w:szCs w:val="18"/>
          <w:rFonts w:cs="Tahoma" w:ascii="Tahoma" w:hAnsi="Tahoma"/>
        </w:rPr>
        <w:fldChar w:fldCharType="separate"/>
      </w:r>
      <w:r>
        <w:rPr>
          <w:rStyle w:val="Hyperlink"/>
          <w:rFonts w:cs="Tahoma" w:ascii="Tahoma" w:hAnsi="Tahoma"/>
          <w:sz w:val="18"/>
          <w:szCs w:val="18"/>
        </w:rPr>
        <w:t>http://www.thetaptap.cz/#!kapela/objednejte-si</w:t>
      </w:r>
      <w:r>
        <w:rPr>
          <w:rStyle w:val="Hyperlink"/>
          <w:sz w:val="18"/>
          <w:szCs w:val="18"/>
          <w:rFonts w:cs="Tahoma" w:ascii="Tahoma" w:hAnsi="Tahoma"/>
        </w:rPr>
        <w:fldChar w:fldCharType="end"/>
      </w:r>
      <w:r>
        <w:rPr>
          <w:rFonts w:cs="Tahoma" w:ascii="Tahoma" w:hAnsi="Tahoma"/>
          <w:sz w:val="18"/>
          <w:szCs w:val="18"/>
        </w:rPr>
        <w:t>. Požadavky na ozvučení bude pořadatel s dostatečným předstihem konzultovat se zvukařem skupiny, jehož kontakt je uveden ve stage plánu.</w:t>
      </w:r>
    </w:p>
    <w:p>
      <w:pPr>
        <w:pStyle w:val="Normal"/>
        <w:numPr>
          <w:ilvl w:val="0"/>
          <w:numId w:val="7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Pořadatel se zavazuje zajistit </w:t>
      </w:r>
      <w:r>
        <w:rPr>
          <w:rFonts w:cs="Tahoma" w:ascii="Tahoma" w:hAnsi="Tahoma"/>
          <w:b/>
          <w:sz w:val="18"/>
          <w:szCs w:val="18"/>
        </w:rPr>
        <w:t>pořadatelskou službu</w:t>
      </w:r>
      <w:r>
        <w:rPr>
          <w:rFonts w:cs="Tahoma" w:ascii="Tahoma" w:hAnsi="Tahoma"/>
          <w:sz w:val="18"/>
          <w:szCs w:val="18"/>
        </w:rPr>
        <w:t xml:space="preserve">. Pořadatel zajistí krytý prostor min. 3x3 metry pro prodej CD, triček a ostatní merchandising kapely a stůl/stoly o minimálních rozměrech 1 x 3 metry a 2 židle. V případě problémů se zajištěním prostor a vybavení pro prodej kontaktuje pořadatel nejpozději 1 den před vystoupením zástupce účinkujícího na e- mailových adresách </w:t>
      </w:r>
      <w:hyperlink r:id="rId2">
        <w:r>
          <w:rPr>
            <w:rStyle w:val="Hyperlink"/>
            <w:rFonts w:cs="Tahoma" w:ascii="Tahoma" w:hAnsi="Tahoma"/>
            <w:sz w:val="18"/>
            <w:szCs w:val="18"/>
          </w:rPr>
          <w:t>bara@studeo.cz</w:t>
        </w:r>
      </w:hyperlink>
      <w:r>
        <w:rPr>
          <w:rFonts w:cs="Tahoma" w:ascii="Tahoma" w:hAnsi="Tahoma"/>
          <w:sz w:val="18"/>
          <w:szCs w:val="18"/>
        </w:rPr>
        <w:t xml:space="preserve"> nebo </w:t>
      </w:r>
      <w:hyperlink r:id="rId3">
        <w:r>
          <w:rPr>
            <w:rStyle w:val="Hyperlink"/>
            <w:rFonts w:cs="Tahoma" w:ascii="Tahoma" w:hAnsi="Tahoma"/>
            <w:sz w:val="18"/>
            <w:szCs w:val="18"/>
          </w:rPr>
          <w:t>dan@thetaptap.cz</w:t>
        </w:r>
      </w:hyperlink>
      <w:r>
        <w:rPr>
          <w:rFonts w:cs="Tahoma" w:ascii="Tahoma" w:hAnsi="Tahoma"/>
          <w:sz w:val="18"/>
          <w:szCs w:val="18"/>
        </w:rPr>
        <w:t>, nebo na telefonním čísle 777 785 423.</w:t>
      </w:r>
    </w:p>
    <w:p>
      <w:pPr>
        <w:pStyle w:val="Normal"/>
        <w:numPr>
          <w:ilvl w:val="0"/>
          <w:numId w:val="7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Pořadatel zajistí </w:t>
      </w:r>
      <w:r>
        <w:rPr>
          <w:rFonts w:cs="Tahoma" w:ascii="Tahoma" w:hAnsi="Tahoma"/>
          <w:b/>
          <w:bCs/>
          <w:sz w:val="18"/>
          <w:szCs w:val="18"/>
        </w:rPr>
        <w:t xml:space="preserve">2 osoby </w:t>
      </w:r>
      <w:r>
        <w:rPr>
          <w:rFonts w:cs="Tahoma" w:ascii="Tahoma" w:hAnsi="Tahoma"/>
          <w:sz w:val="18"/>
          <w:szCs w:val="18"/>
        </w:rPr>
        <w:t>k vykládání nástrojů při příjezdu skupiny a merche a totéž po skončení koncertu.</w:t>
      </w:r>
    </w:p>
    <w:p>
      <w:pPr>
        <w:pStyle w:val="Normal"/>
        <w:numPr>
          <w:ilvl w:val="0"/>
          <w:numId w:val="7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Pořadatel zajistí bezbariérovou, prostornou a pohodlnou, uzamykatelnou a vytopenou </w:t>
      </w:r>
      <w:r>
        <w:rPr>
          <w:rFonts w:cs="Tahoma" w:ascii="Tahoma" w:hAnsi="Tahoma"/>
          <w:b/>
          <w:bCs/>
          <w:sz w:val="18"/>
          <w:szCs w:val="18"/>
        </w:rPr>
        <w:t>šatnu</w:t>
      </w:r>
      <w:r>
        <w:rPr>
          <w:rFonts w:cs="Tahoma" w:ascii="Tahoma" w:hAnsi="Tahoma"/>
          <w:sz w:val="18"/>
          <w:szCs w:val="18"/>
        </w:rPr>
        <w:t xml:space="preserve"> (pro cca </w:t>
        <w:br/>
        <w:t>25 osob) včetně bezbariérového WC. Pokud šatna nebude přímo u podia, pořadatel zajistí přímo u podia bezbariérové mobilní WC.</w:t>
      </w:r>
    </w:p>
    <w:p>
      <w:pPr>
        <w:pStyle w:val="Normal"/>
        <w:numPr>
          <w:ilvl w:val="0"/>
          <w:numId w:val="7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Již při příjezdu skupiny pořadatel do šatny (zázemí kapely) zajistí </w:t>
      </w:r>
      <w:r>
        <w:rPr>
          <w:rFonts w:cs="Tahoma" w:ascii="Tahoma" w:hAnsi="Tahoma"/>
          <w:b/>
          <w:bCs/>
          <w:sz w:val="18"/>
          <w:szCs w:val="18"/>
        </w:rPr>
        <w:t>10x perlivou vodu (1,5 l) + drobné občerstvení pro cca 25 osob (obložený talíř,  1x termosku s kávou, 1 x termosku s černým čajem, 1 x termosku s ovocným čajem, nádobí, cukr a mléko).</w:t>
      </w:r>
    </w:p>
    <w:p>
      <w:pPr>
        <w:pStyle w:val="Normal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Pořadatel zajistí</w:t>
      </w:r>
      <w:r>
        <w:rPr>
          <w:rFonts w:cs="Tahoma" w:ascii="Tahoma" w:hAnsi="Tahoma"/>
          <w:b/>
          <w:bCs/>
          <w:sz w:val="18"/>
          <w:szCs w:val="18"/>
        </w:rPr>
        <w:t xml:space="preserve"> </w:t>
      </w:r>
      <w:r>
        <w:rPr>
          <w:rFonts w:cs="Tahoma" w:ascii="Tahoma" w:hAnsi="Tahoma"/>
          <w:bCs/>
          <w:sz w:val="18"/>
          <w:szCs w:val="18"/>
        </w:rPr>
        <w:t>p</w:t>
      </w:r>
      <w:r>
        <w:rPr>
          <w:rFonts w:cs="Tahoma" w:ascii="Tahoma" w:hAnsi="Tahoma"/>
          <w:color w:val="222222"/>
          <w:sz w:val="18"/>
          <w:szCs w:val="18"/>
          <w:shd w:fill="FFFFFF" w:val="clear"/>
        </w:rPr>
        <w:t>ři vystoupení neperlivé vody (10x 1,5l nebo 20x 0,5l) na podium.</w:t>
      </w:r>
    </w:p>
    <w:p>
      <w:pPr>
        <w:pStyle w:val="Normal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Pořadatel se zavazuje vyhovět připomínkám kapely k používání kouřových efektů a pokusí se omezit </w:t>
        <w:tab/>
        <w:t>kouření v sále.</w:t>
      </w:r>
    </w:p>
    <w:p>
      <w:pPr>
        <w:pStyle w:val="Normal"/>
        <w:numPr>
          <w:ilvl w:val="0"/>
          <w:numId w:val="7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Pořadatel je povinen vypořádat závazky s OSA. Na vyžádání pořadatele může za poplatek 5.000,-Kč zajistit vypořádání závazků vůči OSA účinkující.</w:t>
      </w:r>
    </w:p>
    <w:p>
      <w:pPr>
        <w:pStyle w:val="Normal"/>
        <w:numPr>
          <w:ilvl w:val="0"/>
          <w:numId w:val="7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Pořadatel se zavazuje, že bez předchozího souhlasu nepořídí, nebo nenechá pořídit zvukový, ani obrazový záznam vystoupení, případně učiní odpovídající opatření, aby záznam nebyl pořizován třetí osobou.</w:t>
      </w:r>
    </w:p>
    <w:p>
      <w:pPr>
        <w:pStyle w:val="Normal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Pořadatel se zavazuje poskytnout bezplatný vstup do prostoru vystoupení osobám doprovázejícím </w:t>
        <w:tab/>
        <w:t>účinkujícího, jejichž počet však nesmí překročit počet členů skupiny (účinkujícího).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4.</w:t>
      </w:r>
      <w:r>
        <w:rPr>
          <w:rFonts w:cs="Tahoma" w:ascii="Tahoma" w:hAnsi="Tahoma"/>
          <w:b/>
          <w:sz w:val="18"/>
          <w:szCs w:val="18"/>
        </w:rPr>
        <w:t xml:space="preserve"> Nekonání a odřeknutí vystoupení</w:t>
      </w:r>
    </w:p>
    <w:p>
      <w:pPr>
        <w:pStyle w:val="Normal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Neumožní-li pořadatel v důsledku neodvratitelné události, ležící mimo smluvní strany (přírodní katastrofa, </w:t>
        <w:tab/>
        <w:t xml:space="preserve">epidemie, válečný konflikt, úřední zákaz,…), účinkujícímu provést své vystoupení v souladu s touto </w:t>
        <w:tab/>
        <w:t>smlouvou, zaniká účinkujícímu v plné výši právo na dohodnutý honorář.</w:t>
      </w:r>
    </w:p>
    <w:p>
      <w:pPr>
        <w:pStyle w:val="Normal"/>
        <w:numPr>
          <w:ilvl w:val="0"/>
          <w:numId w:val="5"/>
        </w:numPr>
        <w:ind w:hanging="709" w:left="709"/>
        <w:jc w:val="both"/>
        <w:rPr>
          <w:rFonts w:ascii="Tahoma" w:hAnsi="Tahoma" w:cs="Tahoma"/>
          <w:sz w:val="18"/>
          <w:szCs w:val="18"/>
          <w:shd w:fill="FFFFFF" w:val="clear"/>
        </w:rPr>
      </w:pPr>
      <w:r>
        <w:rPr>
          <w:rFonts w:cs="Tahoma" w:ascii="Tahoma" w:hAnsi="Tahoma"/>
          <w:sz w:val="18"/>
          <w:szCs w:val="18"/>
        </w:rPr>
        <w:t xml:space="preserve">Nezajistí-li pořadatel ozvučení a aparaturu dle stage plánu, dostatečnou velikost podia, bezbariérový přístup na podium, nebo některý z ostatních požadavků, uvedených v části 3 této smlouvy, má účinkující právo na místě odstoupit od smlouvy s nárokem na honorář. </w:t>
      </w:r>
    </w:p>
    <w:p>
      <w:pPr>
        <w:pStyle w:val="Normal"/>
        <w:numPr>
          <w:ilvl w:val="0"/>
          <w:numId w:val="5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  <w:shd w:fill="FFFFFF" w:val="clear"/>
        </w:rPr>
        <w:t>Vznikne-li na základě neodvratitelné události (přírodní kalamita, vážné onemocnění, úraz, úmrtí,…) překážka na straně ​účinkujícího, která mu neumožní</w:t>
      </w:r>
      <w:r>
        <w:rPr>
          <w:rFonts w:cs="Tahoma" w:ascii="Tahoma" w:hAnsi="Tahoma"/>
          <w:color w:val="222222"/>
          <w:sz w:val="18"/>
          <w:szCs w:val="18"/>
          <w:shd w:fill="FFFFFF" w:val="clear"/>
        </w:rPr>
        <w:t xml:space="preserve"> v souladu s touto smlouvou provést ​své vystoupení, zaniká účinkujícímu v plné výši právo na dohodnutý honorář. Pořadatel v takovém případě není ​oprávněn po účinkujícím požadovat náhradu škody, která mu vznikla v důsledku neuskutečnění vystoupení. </w:t>
      </w:r>
      <w:r>
        <w:rPr>
          <w:rFonts w:cs="Tahoma" w:ascii="Tahoma" w:hAnsi="Tahoma"/>
          <w:sz w:val="18"/>
          <w:szCs w:val="18"/>
        </w:rPr>
        <w:t xml:space="preserve">Výše uvedené platí pouze za podmínky, že účinkující pořadatele o překážce bez prodlení vyrozuměl a její existenci řádně doložil. </w:t>
      </w:r>
    </w:p>
    <w:p>
      <w:pPr>
        <w:pStyle w:val="Normal"/>
        <w:numPr>
          <w:ilvl w:val="0"/>
          <w:numId w:val="5"/>
        </w:numPr>
        <w:ind w:hanging="709" w:left="709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V případě, že účinkující odstoupí od této sm</w:t>
      </w:r>
      <w:bookmarkStart w:id="0" w:name="_GoBack"/>
      <w:bookmarkEnd w:id="0"/>
      <w:r>
        <w:rPr>
          <w:rFonts w:cs="Tahoma" w:ascii="Tahoma" w:hAnsi="Tahoma"/>
          <w:sz w:val="18"/>
          <w:szCs w:val="18"/>
        </w:rPr>
        <w:t>louvy z důvodů neuvedených v čl. 4.3 a toto odstoupení sdělí pořadateli nejpozději 30 dnů před termínem akce, není pořadatel oprávněn požadovat po účinkujícím náhradu nákladů, které mu s organizací akce vznikly, ani náhradu jakékoliv jiné škody.              V případě odstoupení od smlouvy z důvodů neuvedených v čl. 4.3 po tomto datu, je účinkující povinen uhradit pořadateli veškeré náklady, prokazatelně vzniklé v souvislosti s organizací akce do data oznámení odstoupení od smlouvy, maximálně však do výše honoráře, sjednaného v této smlouvě.</w:t>
      </w:r>
    </w:p>
    <w:p>
      <w:pPr>
        <w:pStyle w:val="Normal"/>
        <w:numPr>
          <w:ilvl w:val="0"/>
          <w:numId w:val="5"/>
        </w:numPr>
        <w:ind w:hanging="709" w:left="709"/>
        <w:jc w:val="both"/>
        <w:rPr>
          <w:rFonts w:ascii="Tahoma" w:hAnsi="Tahoma" w:cs="Tahoma"/>
          <w:b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Pořadatel může odstoupit od smlouvy bez udání důvodu nejpozději 30 dní před vystoupením. Zruší-li pořadatel vystoupení z  důvodu neuvedeného v čl. 4.1 po tomto datu, je povinen účinkujícímu uhradit smluvní pokutu ve výši 10% z celkové částky honoráře. Oznámí-li pořadatel účinkujícímu zrušení vystoupení méně než 48 hodin před vystoupením, je povinen vyplatit účinkujícímu smluvní pokutu ve výši plného honoráře.</w:t>
      </w:r>
    </w:p>
    <w:p>
      <w:pPr>
        <w:pStyle w:val="Normal"/>
        <w:rPr>
          <w:rFonts w:ascii="Tahoma" w:hAnsi="Tahoma" w:cs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</w:r>
    </w:p>
    <w:p>
      <w:pPr>
        <w:pStyle w:val="Normal"/>
        <w:numPr>
          <w:ilvl w:val="0"/>
          <w:numId w:val="9"/>
        </w:numPr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Závěrečná ustanovení</w:t>
      </w:r>
    </w:p>
    <w:p>
      <w:pPr>
        <w:pStyle w:val="ListParagraph"/>
        <w:numPr>
          <w:ilvl w:val="1"/>
          <w:numId w:val="11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Tuto smlouvu a její podmínky lze měnit pouze dohodou obou stran v písemné formě.</w:t>
      </w:r>
    </w:p>
    <w:p>
      <w:pPr>
        <w:pStyle w:val="ListParagraph"/>
        <w:numPr>
          <w:ilvl w:val="1"/>
          <w:numId w:val="11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Tato smlouva byla vyhotovena ve dvou exemplářích, z nichž jeden obdrží účinkující a jeden pořadatel.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V Praze dne ……………………                                                                       </w:t>
      </w:r>
      <w:permStart w:id="2036088061" w:edGrp="everyone"/>
      <w:r>
        <w:rPr>
          <w:rFonts w:cs="Tahoma" w:ascii="Tahoma" w:hAnsi="Tahoma"/>
          <w:sz w:val="18"/>
          <w:szCs w:val="18"/>
        </w:rPr>
        <w:t>V                dne ……………………</w:t>
      </w:r>
      <w:permEnd w:id="2036088061"/>
    </w:p>
    <w:p>
      <w:pPr>
        <w:pStyle w:val="Normal"/>
        <w:jc w:val="center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  <w:t>_________________________</w:t>
        <w:tab/>
        <w:tab/>
        <w:tab/>
        <w:tab/>
        <w:tab/>
        <w:t>_______________________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ab/>
        <w:t xml:space="preserve">     </w:t>
        <w:tab/>
        <w:t>účinkující</w:t>
        <w:tab/>
        <w:tab/>
        <w:tab/>
        <w:tab/>
        <w:tab/>
        <w:tab/>
        <w:t xml:space="preserve">      </w:t>
        <w:tab/>
        <w:t xml:space="preserve">  pořadatel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57" w:top="2157" w:footer="624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Arial Narrow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libri" w:hAnsi="Calibri" w:cs="Calibri"/>
        <w:bCs/>
        <w:sz w:val="20"/>
        <w:szCs w:val="20"/>
      </w:rPr>
    </w:pPr>
    <w:r>
      <w:rPr/>
      <w:drawing>
        <wp:inline distT="0" distB="0" distL="0" distR="0">
          <wp:extent cx="5753100" cy="190500"/>
          <wp:effectExtent l="0" t="0" r="0" b="0"/>
          <wp:docPr id="5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90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hyperlink r:id="rId2">
      <w:r>
        <w:rPr>
          <w:rStyle w:val="Hyperlink"/>
          <w:rFonts w:cs="Calibri" w:ascii="Calibri" w:hAnsi="Calibri"/>
          <w:bCs/>
          <w:color w:val="auto"/>
          <w:sz w:val="20"/>
          <w:szCs w:val="20"/>
        </w:rPr>
        <w:t>dan@thetaptap.cz</w:t>
      </w:r>
    </w:hyperlink>
    <w:r>
      <w:rPr>
        <w:rFonts w:cs="Calibri" w:ascii="Calibri" w:hAnsi="Calibri"/>
        <w:bCs/>
        <w:sz w:val="20"/>
        <w:szCs w:val="20"/>
      </w:rPr>
      <w:t xml:space="preserve"> | </w:t>
    </w:r>
    <w:hyperlink r:id="rId3">
      <w:r>
        <w:rPr>
          <w:rStyle w:val="Hyperlink"/>
          <w:rFonts w:cs="Calibri" w:ascii="Calibri" w:hAnsi="Calibri"/>
          <w:bCs/>
          <w:color w:val="auto"/>
          <w:sz w:val="20"/>
          <w:szCs w:val="20"/>
        </w:rPr>
        <w:t>simon@thetaptap.cz</w:t>
      </w:r>
    </w:hyperlink>
    <w:r>
      <w:rPr>
        <w:rFonts w:cs="Calibri" w:ascii="Calibri" w:hAnsi="Calibri"/>
        <w:bCs/>
        <w:sz w:val="20"/>
        <w:szCs w:val="20"/>
      </w:rPr>
      <w:t xml:space="preserve"> </w:t>
    </w:r>
    <w:r>
      <w:rPr>
        <w:rFonts w:cs="Calibri" w:ascii="Calibri" w:hAnsi="Calibri"/>
        <w:sz w:val="20"/>
        <w:szCs w:val="20"/>
      </w:rPr>
      <w:t xml:space="preserve">| </w:t>
    </w:r>
    <w:hyperlink r:id="rId4">
      <w:r>
        <w:rPr>
          <w:rStyle w:val="Hyperlink"/>
          <w:rFonts w:cs="Calibri" w:ascii="Calibri" w:hAnsi="Calibri"/>
          <w:bCs/>
          <w:color w:val="auto"/>
          <w:sz w:val="20"/>
          <w:szCs w:val="20"/>
        </w:rPr>
        <w:t>www.thetaptap.cz</w:t>
      </w:r>
    </w:hyperlink>
    <w:r>
      <w:rPr>
        <w:rFonts w:cs="Calibri" w:ascii="Calibri" w:hAnsi="Calibri"/>
        <w:bCs/>
        <w:sz w:val="20"/>
        <w:szCs w:val="20"/>
      </w:rPr>
      <w:t xml:space="preserve">                      </w:t>
    </w:r>
    <w:r>
      <w:rPr>
        <w:rFonts w:cs="Calibri" w:ascii="Calibri" w:hAnsi="Calibri"/>
        <w:sz w:val="20"/>
        <w:szCs w:val="20"/>
      </w:rPr>
      <w:t xml:space="preserve">                Stránka </w:t>
    </w:r>
    <w:r>
      <w:rPr>
        <w:rFonts w:cs="Calibri" w:ascii="Calibri" w:hAnsi="Calibri"/>
        <w:bCs/>
        <w:sz w:val="20"/>
        <w:szCs w:val="20"/>
      </w:rPr>
      <w:fldChar w:fldCharType="begin"/>
    </w:r>
    <w:r>
      <w:rPr>
        <w:sz w:val="20"/>
        <w:szCs w:val="20"/>
        <w:bCs/>
        <w:rFonts w:cs="Calibri" w:ascii="Calibri" w:hAnsi="Calibri"/>
      </w:rPr>
      <w:instrText xml:space="preserve"> PAGE </w:instrText>
    </w:r>
    <w:r>
      <w:rPr>
        <w:sz w:val="20"/>
        <w:szCs w:val="20"/>
        <w:bCs/>
        <w:rFonts w:cs="Calibri" w:ascii="Calibri" w:hAnsi="Calibri"/>
      </w:rPr>
      <w:fldChar w:fldCharType="separate"/>
    </w:r>
    <w:r>
      <w:rPr>
        <w:sz w:val="20"/>
        <w:szCs w:val="20"/>
        <w:bCs/>
        <w:rFonts w:cs="Calibri" w:ascii="Calibri" w:hAnsi="Calibri"/>
      </w:rPr>
      <w:t>2</w:t>
    </w:r>
    <w:r>
      <w:rPr>
        <w:sz w:val="20"/>
        <w:szCs w:val="20"/>
        <w:bCs/>
        <w:rFonts w:cs="Calibri" w:ascii="Calibri" w:hAnsi="Calibri"/>
      </w:rPr>
      <w:fldChar w:fldCharType="end"/>
    </w:r>
    <w:r>
      <w:rPr>
        <w:rFonts w:cs="Calibri" w:ascii="Calibri" w:hAnsi="Calibri"/>
        <w:sz w:val="20"/>
        <w:szCs w:val="20"/>
      </w:rPr>
      <w:t xml:space="preserve"> z </w:t>
    </w:r>
    <w:r>
      <w:rPr>
        <w:rFonts w:cs="Calibri" w:ascii="Calibri" w:hAnsi="Calibri"/>
        <w:bCs/>
        <w:sz w:val="20"/>
        <w:szCs w:val="20"/>
      </w:rPr>
      <w:fldChar w:fldCharType="begin"/>
    </w:r>
    <w:r>
      <w:rPr>
        <w:sz w:val="20"/>
        <w:szCs w:val="20"/>
        <w:bCs/>
        <w:rFonts w:cs="Calibri" w:ascii="Calibri" w:hAnsi="Calibri"/>
      </w:rPr>
      <w:instrText xml:space="preserve"> NUMPAGES </w:instrText>
    </w:r>
    <w:r>
      <w:rPr>
        <w:sz w:val="20"/>
        <w:szCs w:val="20"/>
        <w:bCs/>
        <w:rFonts w:cs="Calibri" w:ascii="Calibri" w:hAnsi="Calibri"/>
      </w:rPr>
      <w:fldChar w:fldCharType="separate"/>
    </w:r>
    <w:r>
      <w:rPr>
        <w:sz w:val="20"/>
        <w:szCs w:val="20"/>
        <w:bCs/>
        <w:rFonts w:cs="Calibri" w:ascii="Calibri" w:hAnsi="Calibri"/>
      </w:rPr>
      <w:t>2</w:t>
    </w:r>
    <w:r>
      <w:rPr>
        <w:sz w:val="20"/>
        <w:szCs w:val="20"/>
        <w:bCs/>
        <w:rFonts w:cs="Calibri" w:ascii="Calibri" w:hAnsi="Calibri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libri" w:hAnsi="Calibri" w:cs="Calibri"/>
        <w:bCs/>
        <w:sz w:val="20"/>
        <w:szCs w:val="20"/>
      </w:rPr>
    </w:pPr>
    <w:r>
      <w:rPr/>
      <w:drawing>
        <wp:inline distT="0" distB="0" distL="0" distR="0">
          <wp:extent cx="5753100" cy="190500"/>
          <wp:effectExtent l="0" t="0" r="0" b="0"/>
          <wp:docPr id="6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90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hyperlink r:id="rId2">
      <w:r>
        <w:rPr>
          <w:rStyle w:val="Hyperlink"/>
          <w:rFonts w:cs="Calibri" w:ascii="Calibri" w:hAnsi="Calibri"/>
          <w:bCs/>
          <w:color w:val="auto"/>
          <w:sz w:val="20"/>
          <w:szCs w:val="20"/>
        </w:rPr>
        <w:t>dan@thetaptap.cz</w:t>
      </w:r>
    </w:hyperlink>
    <w:r>
      <w:rPr>
        <w:rFonts w:cs="Calibri" w:ascii="Calibri" w:hAnsi="Calibri"/>
        <w:bCs/>
        <w:sz w:val="20"/>
        <w:szCs w:val="20"/>
      </w:rPr>
      <w:t xml:space="preserve"> | </w:t>
    </w:r>
    <w:hyperlink r:id="rId3">
      <w:r>
        <w:rPr>
          <w:rStyle w:val="Hyperlink"/>
          <w:rFonts w:cs="Calibri" w:ascii="Calibri" w:hAnsi="Calibri"/>
          <w:bCs/>
          <w:color w:val="auto"/>
          <w:sz w:val="20"/>
          <w:szCs w:val="20"/>
        </w:rPr>
        <w:t>simon@thetaptap.cz</w:t>
      </w:r>
    </w:hyperlink>
    <w:r>
      <w:rPr>
        <w:rFonts w:cs="Calibri" w:ascii="Calibri" w:hAnsi="Calibri"/>
        <w:bCs/>
        <w:sz w:val="20"/>
        <w:szCs w:val="20"/>
      </w:rPr>
      <w:t xml:space="preserve"> </w:t>
    </w:r>
    <w:r>
      <w:rPr>
        <w:rFonts w:cs="Calibri" w:ascii="Calibri" w:hAnsi="Calibri"/>
        <w:sz w:val="20"/>
        <w:szCs w:val="20"/>
      </w:rPr>
      <w:t xml:space="preserve">| </w:t>
    </w:r>
    <w:hyperlink r:id="rId4">
      <w:r>
        <w:rPr>
          <w:rStyle w:val="Hyperlink"/>
          <w:rFonts w:cs="Calibri" w:ascii="Calibri" w:hAnsi="Calibri"/>
          <w:bCs/>
          <w:color w:val="auto"/>
          <w:sz w:val="20"/>
          <w:szCs w:val="20"/>
        </w:rPr>
        <w:t>www.thetaptap.cz</w:t>
      </w:r>
    </w:hyperlink>
    <w:r>
      <w:rPr>
        <w:rFonts w:cs="Calibri" w:ascii="Calibri" w:hAnsi="Calibri"/>
        <w:bCs/>
        <w:sz w:val="20"/>
        <w:szCs w:val="20"/>
      </w:rPr>
      <w:t xml:space="preserve">                      </w:t>
    </w:r>
    <w:r>
      <w:rPr>
        <w:rFonts w:cs="Calibri" w:ascii="Calibri" w:hAnsi="Calibri"/>
        <w:sz w:val="20"/>
        <w:szCs w:val="20"/>
      </w:rPr>
      <w:t xml:space="preserve">                Stránka </w:t>
    </w:r>
    <w:r>
      <w:rPr>
        <w:rFonts w:cs="Calibri" w:ascii="Calibri" w:hAnsi="Calibri"/>
        <w:bCs/>
        <w:sz w:val="20"/>
        <w:szCs w:val="20"/>
      </w:rPr>
      <w:fldChar w:fldCharType="begin"/>
    </w:r>
    <w:r>
      <w:rPr>
        <w:sz w:val="20"/>
        <w:szCs w:val="20"/>
        <w:bCs/>
        <w:rFonts w:cs="Calibri" w:ascii="Calibri" w:hAnsi="Calibri"/>
      </w:rPr>
      <w:instrText xml:space="preserve"> PAGE </w:instrText>
    </w:r>
    <w:r>
      <w:rPr>
        <w:sz w:val="20"/>
        <w:szCs w:val="20"/>
        <w:bCs/>
        <w:rFonts w:cs="Calibri" w:ascii="Calibri" w:hAnsi="Calibri"/>
      </w:rPr>
      <w:fldChar w:fldCharType="separate"/>
    </w:r>
    <w:r>
      <w:rPr>
        <w:sz w:val="20"/>
        <w:szCs w:val="20"/>
        <w:bCs/>
        <w:rFonts w:cs="Calibri" w:ascii="Calibri" w:hAnsi="Calibri"/>
      </w:rPr>
      <w:t>2</w:t>
    </w:r>
    <w:r>
      <w:rPr>
        <w:sz w:val="20"/>
        <w:szCs w:val="20"/>
        <w:bCs/>
        <w:rFonts w:cs="Calibri" w:ascii="Calibri" w:hAnsi="Calibri"/>
      </w:rPr>
      <w:fldChar w:fldCharType="end"/>
    </w:r>
    <w:r>
      <w:rPr>
        <w:rFonts w:cs="Calibri" w:ascii="Calibri" w:hAnsi="Calibri"/>
        <w:sz w:val="20"/>
        <w:szCs w:val="20"/>
      </w:rPr>
      <w:t xml:space="preserve"> z </w:t>
    </w:r>
    <w:r>
      <w:rPr>
        <w:rFonts w:cs="Calibri" w:ascii="Calibri" w:hAnsi="Calibri"/>
        <w:bCs/>
        <w:sz w:val="20"/>
        <w:szCs w:val="20"/>
      </w:rPr>
      <w:fldChar w:fldCharType="begin"/>
    </w:r>
    <w:r>
      <w:rPr>
        <w:sz w:val="20"/>
        <w:szCs w:val="20"/>
        <w:bCs/>
        <w:rFonts w:cs="Calibri" w:ascii="Calibri" w:hAnsi="Calibri"/>
      </w:rPr>
      <w:instrText xml:space="preserve"> NUMPAGES </w:instrText>
    </w:r>
    <w:r>
      <w:rPr>
        <w:sz w:val="20"/>
        <w:szCs w:val="20"/>
        <w:bCs/>
        <w:rFonts w:cs="Calibri" w:ascii="Calibri" w:hAnsi="Calibri"/>
      </w:rPr>
      <w:fldChar w:fldCharType="separate"/>
    </w:r>
    <w:r>
      <w:rPr>
        <w:sz w:val="20"/>
        <w:szCs w:val="20"/>
        <w:bCs/>
        <w:rFonts w:cs="Calibri" w:ascii="Calibri" w:hAnsi="Calibri"/>
      </w:rPr>
      <w:t>2</w:t>
    </w:r>
    <w:r>
      <w:rPr>
        <w:sz w:val="20"/>
        <w:szCs w:val="20"/>
        <w:bCs/>
        <w:rFonts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/>
      <w:rPr/>
    </w:pPr>
    <w:r>
      <w:rPr/>
      <mc:AlternateContent>
        <mc:Choice Requires="wps">
          <w:drawing>
            <wp:anchor behindDoc="1" distT="7620" distB="9525" distL="10160" distR="6985" simplePos="0" locked="0" layoutInCell="1" allowOverlap="1" relativeHeight="8">
              <wp:simplePos x="0" y="0"/>
              <wp:positionH relativeFrom="column">
                <wp:posOffset>1705610</wp:posOffset>
              </wp:positionH>
              <wp:positionV relativeFrom="paragraph">
                <wp:posOffset>702945</wp:posOffset>
              </wp:positionV>
              <wp:extent cx="2506980" cy="278130"/>
              <wp:effectExtent l="3175" t="3175" r="3175" b="3175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7040" cy="27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jc w:val="righ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cs="Calibri" w:ascii="Calibri" w:hAnsi="Calibr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lIns="94680" rIns="94680" tIns="48960" bIns="489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t" o:allowincell="f" style="position:absolute;margin-left:134.3pt;margin-top:55.35pt;width:197.35pt;height:21.85pt;mso-wrap-style:square;v-text-anchor:top">
              <v:fill o:detectmouseclick="t" type="solid" color2="black"/>
              <v:stroke color="white" weight="6480" joinstyle="miter" endcap="flat"/>
              <v:textbox>
                <w:txbxContent>
                  <w:p>
                    <w:pPr>
                      <w:pStyle w:val="Obsahrmce"/>
                      <w:jc w:val="righ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cs="Calibri" w:ascii="Calibri" w:hAnsi="Calibri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7229475" cy="1419225"/>
          <wp:effectExtent l="0" t="0" r="0" b="0"/>
          <wp:docPr id="2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4192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/>
      <w:rPr/>
    </w:pPr>
    <w:r>
      <w:rPr/>
      <mc:AlternateContent>
        <mc:Choice Requires="wps">
          <w:drawing>
            <wp:anchor behindDoc="1" distT="7620" distB="9525" distL="10160" distR="6985" simplePos="0" locked="0" layoutInCell="1" allowOverlap="1" relativeHeight="8">
              <wp:simplePos x="0" y="0"/>
              <wp:positionH relativeFrom="column">
                <wp:posOffset>1705610</wp:posOffset>
              </wp:positionH>
              <wp:positionV relativeFrom="paragraph">
                <wp:posOffset>702945</wp:posOffset>
              </wp:positionV>
              <wp:extent cx="2506980" cy="278130"/>
              <wp:effectExtent l="3175" t="3175" r="3175" b="3175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7040" cy="27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jc w:val="righ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cs="Calibri" w:ascii="Calibri" w:hAnsi="Calibr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lIns="94680" rIns="94680" tIns="48960" bIns="489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t" o:allowincell="f" style="position:absolute;margin-left:134.3pt;margin-top:55.35pt;width:197.35pt;height:21.85pt;mso-wrap-style:square;v-text-anchor:top">
              <v:fill o:detectmouseclick="t" type="solid" color2="black"/>
              <v:stroke color="white" weight="6480" joinstyle="miter" endcap="flat"/>
              <v:textbox>
                <w:txbxContent>
                  <w:p>
                    <w:pPr>
                      <w:pStyle w:val="Obsahrmce"/>
                      <w:jc w:val="righ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cs="Calibri" w:ascii="Calibri" w:hAnsi="Calibri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7229475" cy="1419225"/>
          <wp:effectExtent l="0" t="0" r="0" b="0"/>
          <wp:docPr id="4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4192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2"/>
      <w:numFmt w:val="decimal"/>
      <w:lvlText w:val="1.%1. "/>
      <w:lvlJc w:val="left"/>
      <w:pPr>
        <w:tabs>
          <w:tab w:val="num" w:pos="0"/>
        </w:tabs>
        <w:ind w:left="283" w:hanging="283"/>
      </w:pPr>
      <w:rPr>
        <w:sz w:val="18"/>
        <w:i w:val="false"/>
        <w:u w:val="none"/>
        <w:b w:val="false"/>
        <w:szCs w:val="18"/>
        <w:bCs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2.%1. "/>
      <w:lvlJc w:val="left"/>
      <w:pPr>
        <w:tabs>
          <w:tab w:val="num" w:pos="0"/>
        </w:tabs>
        <w:ind w:left="283" w:hanging="283"/>
      </w:pPr>
      <w:rPr>
        <w:sz w:val="18"/>
        <w:i w:val="false"/>
        <w:u w:val="none"/>
        <w:b w:val="false"/>
        <w:szCs w:val="18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18"/>
        <w:i w:val="false"/>
        <w:u w:val="none"/>
        <w:b w:val="false"/>
        <w:szCs w:val="18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4.%1. "/>
      <w:lvlJc w:val="left"/>
      <w:pPr>
        <w:tabs>
          <w:tab w:val="num" w:pos="0"/>
        </w:tabs>
        <w:ind w:left="283" w:hanging="283"/>
      </w:pPr>
      <w:rPr>
        <w:sz w:val="20"/>
        <w:i w:val="false"/>
        <w:u w:val="none"/>
        <w:b w:val="false"/>
        <w:szCs w:val="18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18"/>
        <w:i w:val="false"/>
        <w:u w:val="none"/>
        <w:b w:val="false"/>
        <w:szCs w:val="18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3.%1. "/>
      <w:lvlJc w:val="left"/>
      <w:pPr>
        <w:tabs>
          <w:tab w:val="num" w:pos="0"/>
        </w:tabs>
        <w:ind w:left="283" w:hanging="283"/>
      </w:pPr>
      <w:rPr>
        <w:sz w:val="18"/>
        <w:i w:val="false"/>
        <w:u w:val="none"/>
        <w:b w:val="false"/>
        <w:szCs w:val="18"/>
        <w:bCs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18"/>
        <w:i w:val="false"/>
        <w:u w:val="none"/>
        <w:b w:val="false"/>
        <w:szCs w:val="18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18"/>
        <w:i w:val="false"/>
        <w:u w:val="none"/>
        <w:b w:val="false"/>
        <w:szCs w:val="18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i w:val="false"/>
        <w:u w:val="none"/>
        <w:b w:val="fals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i w:val="false"/>
        <w:u w:val="none"/>
        <w:b w:val="false"/>
      </w:rPr>
    </w:lvl>
  </w:abstractNum>
  <w:abstractNum w:abstractNumId="11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18"/>
        <w:szCs w:val="18"/>
        <w:rFonts w:ascii="Tahoma" w:hAnsi="Tahoma" w:cs="Tahom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18"/>
        <w:szCs w:val="18"/>
        <w:rFonts w:ascii="Symbol" w:hAnsi="Symbol" w:cs="Open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18"/>
        <w:szCs w:val="18"/>
        <w:rFonts w:ascii="Symbol" w:hAnsi="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18"/>
        <w:szCs w:val="18"/>
        <w:rFonts w:ascii="Symbol" w:hAnsi="Symbol" w:cs="Open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18"/>
        <w:szCs w:val="18"/>
        <w:rFonts w:ascii="Symbol" w:hAnsi="Symbol" w:cs="Open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18"/>
        <w:szCs w:val="18"/>
        <w:rFonts w:ascii="Symbol" w:hAnsi="Symbol" w:cs="Open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18"/>
        <w:szCs w:val="18"/>
        <w:rFonts w:ascii="Symbol" w:hAnsi="Symbol" w:cs="Open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18"/>
        <w:szCs w:val="18"/>
        <w:rFonts w:ascii="Symbol" w:hAnsi="Symbol" w:cs="OpenSymbol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cs-CZ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Arial" w:hAnsi="Arial" w:cs="Arial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cs="Times New Roman"/>
      <w:b w:val="false"/>
      <w:bCs/>
      <w:i w:val="false"/>
      <w:sz w:val="20"/>
      <w:szCs w:val="18"/>
      <w:u w:val="none"/>
    </w:rPr>
  </w:style>
  <w:style w:type="character" w:styleId="WW8Num3z0" w:customStyle="1">
    <w:name w:val="WW8Num3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4z0" w:customStyle="1">
    <w:name w:val="WW8Num4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5z0" w:customStyle="1">
    <w:name w:val="WW8Num5z0"/>
    <w:qFormat/>
    <w:rPr>
      <w:rFonts w:ascii="Times New Roman" w:hAnsi="Times New Roman" w:cs="Times New Roman"/>
      <w:b w:val="false"/>
      <w:i w:val="false"/>
      <w:sz w:val="20"/>
      <w:szCs w:val="18"/>
      <w:u w:val="none"/>
    </w:rPr>
  </w:style>
  <w:style w:type="character" w:styleId="WW8Num6z0" w:customStyle="1">
    <w:name w:val="WW8Num6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7z0" w:customStyle="1">
    <w:name w:val="WW8Num7z0"/>
    <w:qFormat/>
    <w:rPr>
      <w:rFonts w:ascii="Times New Roman" w:hAnsi="Times New Roman" w:cs="Times New Roman"/>
      <w:b w:val="false"/>
      <w:bCs/>
      <w:i w:val="false"/>
      <w:sz w:val="20"/>
      <w:szCs w:val="18"/>
      <w:u w:val="none"/>
    </w:rPr>
  </w:style>
  <w:style w:type="character" w:styleId="WW8Num8z0" w:customStyle="1">
    <w:name w:val="WW8Num8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9z0" w:customStyle="1">
    <w:name w:val="WW8Num9z0"/>
    <w:qFormat/>
    <w:rPr>
      <w:rFonts w:ascii="Times New Roman" w:hAnsi="Times New Roman" w:cs="Times New Roman"/>
      <w:b w:val="false"/>
      <w:i w:val="false"/>
      <w:sz w:val="20"/>
      <w:szCs w:val="18"/>
      <w:u w:val="none"/>
    </w:rPr>
  </w:style>
  <w:style w:type="character" w:styleId="WW8Num10z0" w:customStyle="1">
    <w:name w:val="WW8Num10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11z0" w:customStyle="1">
    <w:name w:val="WW8Num11z0"/>
    <w:qFormat/>
    <w:rPr>
      <w:rFonts w:ascii="Symbol" w:hAnsi="Symbol" w:cs="OpenSymbol"/>
      <w:sz w:val="18"/>
      <w:szCs w:val="18"/>
    </w:rPr>
  </w:style>
  <w:style w:type="character" w:styleId="WW8Num12z0" w:customStyle="1">
    <w:name w:val="WW8Num12z0"/>
    <w:qFormat/>
    <w:rPr/>
  </w:style>
  <w:style w:type="character" w:styleId="Standardnpsmoodstavce3" w:customStyle="1">
    <w:name w:val="Standardní písmo odstavce3"/>
    <w:qFormat/>
    <w:rPr/>
  </w:style>
  <w:style w:type="character" w:styleId="Standardnpsmoodstavce2" w:customStyle="1">
    <w:name w:val="Standardní písmo odstavce2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8NumSt3z0" w:customStyle="1">
    <w:name w:val="WW8NumSt3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St9z0" w:customStyle="1">
    <w:name w:val="WW8NumSt9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Standardnpsmoodstavce1" w:customStyle="1">
    <w:name w:val="Standardní písmo odstavce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TextkomenteChar" w:customStyle="1">
    <w:name w:val="Text komentáře Char"/>
    <w:qFormat/>
    <w:rPr/>
  </w:style>
  <w:style w:type="character" w:styleId="Odkaznakoment1" w:customStyle="1">
    <w:name w:val="Odkaz na komentář1"/>
    <w:qFormat/>
    <w:rPr>
      <w:sz w:val="16"/>
      <w:szCs w:val="16"/>
    </w:rPr>
  </w:style>
  <w:style w:type="character" w:styleId="PedmtkomenteChar" w:customStyle="1">
    <w:name w:val="Předmět komentáře Char"/>
    <w:qFormat/>
    <w:rPr>
      <w:b/>
      <w:bCs/>
    </w:rPr>
  </w:style>
  <w:style w:type="character" w:styleId="ZhlavChar" w:customStyle="1">
    <w:name w:val="Záhlaví Char"/>
    <w:qFormat/>
    <w:rPr>
      <w:sz w:val="24"/>
      <w:szCs w:val="24"/>
    </w:rPr>
  </w:style>
  <w:style w:type="character" w:styleId="ZpatChar" w:customStyle="1">
    <w:name w:val="Zápatí Char"/>
    <w:qFormat/>
    <w:rPr>
      <w:sz w:val="24"/>
      <w:szCs w:val="24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/>
    <w:rPr>
      <w:rFonts w:ascii="Arial Narrow" w:hAnsi="Arial Narrow" w:cs="Arial"/>
      <w:sz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i/>
      <w:iCs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pisekuser" w:customStyle="1">
    <w:name w:val="Popisek (user)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odyTextIndent">
    <w:name w:val="Body Text Indent"/>
    <w:basedOn w:val="Normal"/>
    <w:pPr>
      <w:spacing w:lineRule="auto" w:line="360"/>
      <w:ind w:left="284"/>
    </w:pPr>
    <w:rPr>
      <w:rFonts w:ascii="Arial" w:hAnsi="Arial" w:cs="Arial"/>
      <w:sz w:val="20"/>
      <w:szCs w:val="20"/>
    </w:rPr>
  </w:style>
  <w:style w:type="paragraph" w:styleId="Zkladntextodsazen21" w:customStyle="1">
    <w:name w:val="Základní text odsazený 21"/>
    <w:basedOn w:val="Normal"/>
    <w:qFormat/>
    <w:pPr>
      <w:spacing w:lineRule="exact" w:line="300"/>
      <w:ind w:hanging="284" w:left="284"/>
      <w:jc w:val="both"/>
    </w:pPr>
    <w:rPr>
      <w:rFonts w:ascii="Arial" w:hAnsi="Arial" w:cs="Arial"/>
      <w:sz w:val="20"/>
      <w:szCs w:val="20"/>
    </w:rPr>
  </w:style>
  <w:style w:type="paragraph" w:styleId="Textkomente1" w:customStyle="1">
    <w:name w:val="Text komentáře1"/>
    <w:basedOn w:val="Normal"/>
    <w:qFormat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komente2" w:customStyle="1">
    <w:name w:val="Text komentáře2"/>
    <w:basedOn w:val="Normal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annotationsubject">
    <w:name w:val="annotation subject"/>
    <w:basedOn w:val="Textkomente2"/>
    <w:next w:val="Textkomente2"/>
    <w:qFormat/>
    <w:pPr/>
    <w:rPr>
      <w:b/>
      <w:bCs/>
    </w:rPr>
  </w:style>
  <w:style w:type="paragraph" w:styleId="Obsahrmce" w:customStyle="1">
    <w:name w:val="Obsah rámce"/>
    <w:basedOn w:val="BodyText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ra@studeo.cz" TargetMode="External"/><Relationship Id="rId3" Type="http://schemas.openxmlformats.org/officeDocument/2006/relationships/hyperlink" Target="mailto:dan@thetaptap.cz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dan@thetaptap.cz" TargetMode="External"/><Relationship Id="rId3" Type="http://schemas.openxmlformats.org/officeDocument/2006/relationships/hyperlink" Target="mailto:simon@thetaptap.cz" TargetMode="External"/><Relationship Id="rId4" Type="http://schemas.openxmlformats.org/officeDocument/2006/relationships/hyperlink" Target="http://www.thetaptap.cz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dan@thetaptap.cz" TargetMode="External"/><Relationship Id="rId3" Type="http://schemas.openxmlformats.org/officeDocument/2006/relationships/hyperlink" Target="mailto:simon@thetaptap.cz" TargetMode="External"/><Relationship Id="rId4" Type="http://schemas.openxmlformats.org/officeDocument/2006/relationships/hyperlink" Target="http://www.thetaptap.cz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5CAC-064B-4C15-AF2C-D4275DE5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LibreOffice/24.8.5.2$Windows_X86_64 LibreOffice_project/fddf2685c70b461e7832239a0162a77216259f22</Application>
  <AppVersion>15.0000</AppVersion>
  <DocSecurity>8</DocSecurity>
  <Pages>2</Pages>
  <Words>913</Words>
  <Characters>5471</Characters>
  <CharactersWithSpaces>6538</CharactersWithSpaces>
  <Paragraphs>61</Paragraphs>
  <Company>o.s.TAP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2018-02-08T18:48:00Z</dcterms:created>
  <dc:creator>Šimon Kotek;Dan Suchánek</dc:creator>
  <dc:description/>
  <cp:keywords>Smlouva The Tap Tap</cp:keywords>
  <dc:language>cs-CZ</dc:language>
  <cp:lastModifiedBy/>
  <cp:lastPrinted>2006-01-04T09:31:00Z</cp:lastPrinted>
  <dcterms:modified xsi:type="dcterms:W3CDTF">2025-05-15T08:54:28Z</dcterms:modified>
  <cp:revision>9</cp:revision>
  <dc:subject/>
  <dc:title>z.s. TAP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